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28B6" w14:textId="77777777" w:rsidR="00EF3FA8" w:rsidRDefault="00EF3FA8" w:rsidP="00EF3FA8">
      <w:pPr>
        <w:rPr>
          <w:rFonts w:eastAsia="MS Mincho"/>
        </w:rPr>
      </w:pPr>
      <w:r>
        <w:rPr>
          <w:rFonts w:eastAsia="MS Mincho"/>
          <w:b/>
          <w:bCs/>
        </w:rPr>
        <w:t>Business and Noninstructional Operations</w:t>
      </w:r>
      <w:r>
        <w:rPr>
          <w:rFonts w:eastAsia="MS Mincho"/>
          <w:b/>
          <w:bCs/>
        </w:rPr>
        <w:tab/>
      </w:r>
      <w:r>
        <w:rPr>
          <w:rFonts w:eastAsia="MS Mincho"/>
        </w:rPr>
        <w:t>BP 3260(a)</w:t>
      </w:r>
    </w:p>
    <w:p w14:paraId="4C51BEE2" w14:textId="77777777" w:rsidR="00EF3FA8" w:rsidRDefault="00EF3FA8" w:rsidP="00EF3FA8">
      <w:pPr>
        <w:rPr>
          <w:rFonts w:eastAsia="MS Mincho"/>
        </w:rPr>
      </w:pPr>
    </w:p>
    <w:p w14:paraId="7714CC2D" w14:textId="77777777" w:rsidR="00EF3FA8" w:rsidRDefault="00EF3FA8" w:rsidP="00EF3FA8">
      <w:pPr>
        <w:rPr>
          <w:rFonts w:eastAsia="MS Mincho"/>
          <w:b/>
          <w:bCs/>
        </w:rPr>
      </w:pPr>
      <w:r>
        <w:rPr>
          <w:rFonts w:eastAsia="MS Mincho"/>
          <w:b/>
          <w:bCs/>
        </w:rPr>
        <w:t>FEES AND CHARGES</w:t>
      </w:r>
    </w:p>
    <w:p w14:paraId="73E9BFA6" w14:textId="77777777" w:rsidR="00EF3FA8" w:rsidRDefault="00EF3FA8" w:rsidP="00EF3FA8">
      <w:pPr>
        <w:rPr>
          <w:rFonts w:eastAsia="MS Mincho"/>
        </w:rPr>
      </w:pPr>
    </w:p>
    <w:p w14:paraId="03716CBC" w14:textId="531CA30F" w:rsidR="000F231F" w:rsidRDefault="00EF3FA8">
      <w:r w:rsidRPr="00E44E28">
        <w:t xml:space="preserve">College and Career Advantage (CCA) </w:t>
      </w:r>
      <w:r>
        <w:t>Regional Occupational Program shall not charge a pupil fee for participation in an educational activity, except as specifically authorized by state law.</w:t>
      </w:r>
    </w:p>
    <w:p w14:paraId="7C6B9D39" w14:textId="77777777" w:rsidR="00EF3FA8" w:rsidRDefault="00EF3FA8"/>
    <w:p w14:paraId="67540C84" w14:textId="2ACAF56B" w:rsidR="00EF3FA8" w:rsidRDefault="00EF3FA8">
      <w:r>
        <w:t>All supplies, materials, and equipment needed to participate in educational activities shall be provided to pupils free of charge.</w:t>
      </w:r>
    </w:p>
    <w:p w14:paraId="75573DDC" w14:textId="77777777" w:rsidR="00EF3FA8" w:rsidRDefault="00EF3FA8"/>
    <w:p w14:paraId="5AA0D46C" w14:textId="42C67FC4" w:rsidR="00EF3FA8" w:rsidRDefault="00EF3FA8">
      <w:r>
        <w:t>A fee waiver policy shall not make a pupil fee permissible.</w:t>
      </w:r>
    </w:p>
    <w:p w14:paraId="7821A78B" w14:textId="77777777" w:rsidR="00EF3FA8" w:rsidRDefault="00EF3FA8"/>
    <w:p w14:paraId="40D739CF" w14:textId="661A9011" w:rsidR="00EF3FA8" w:rsidRDefault="00EF3FA8">
      <w:r w:rsidRPr="00E44E28">
        <w:t>CCA</w:t>
      </w:r>
      <w:r>
        <w:t xml:space="preserve"> shall not offer course credit or privileges related to educational activities in exchange for money or donations of goods or services from a pupil or a pupil’s parents or </w:t>
      </w:r>
      <w:r w:rsidR="00E44E28">
        <w:t>guardians and</w:t>
      </w:r>
      <w:r>
        <w:t xml:space="preserve"> shall not remove course credit or privileges related to educational activities, or otherwise discriminate against a pupil, because the pupil or the pupil’s parents or guardians did not or will not provide money or donations of goods or services to the district.</w:t>
      </w:r>
    </w:p>
    <w:p w14:paraId="7ADF6DE8" w14:textId="77777777" w:rsidR="00EF3FA8" w:rsidRDefault="00EF3FA8"/>
    <w:p w14:paraId="4F1EAD43" w14:textId="19F04DC0" w:rsidR="00EF3FA8" w:rsidRDefault="00EF3FA8">
      <w:r>
        <w:t>The following definitions shall apply for purposes of this policy:</w:t>
      </w:r>
    </w:p>
    <w:p w14:paraId="5E14650A" w14:textId="77777777" w:rsidR="00EF3FA8" w:rsidRDefault="00EF3FA8"/>
    <w:p w14:paraId="582DF4FB" w14:textId="73A8A788" w:rsidR="00EF3FA8" w:rsidRDefault="00EF3FA8" w:rsidP="00EF3FA8">
      <w:pPr>
        <w:pStyle w:val="ListParagraph"/>
        <w:numPr>
          <w:ilvl w:val="0"/>
          <w:numId w:val="1"/>
        </w:numPr>
      </w:pPr>
      <w:r>
        <w:t>“Educational activity” means an activity offered by a school, school district, charter school, or county office of education that constitutes an integral fundamental part of elementary and secondary education, including, but not limited to, curricular and extracurricular activities.</w:t>
      </w:r>
    </w:p>
    <w:p w14:paraId="2A4E9DB4" w14:textId="77777777" w:rsidR="00F60293" w:rsidRDefault="00F60293" w:rsidP="00F60293"/>
    <w:p w14:paraId="52A0799D" w14:textId="360F1A78" w:rsidR="00EF3FA8" w:rsidRDefault="00EF3FA8" w:rsidP="00EF3FA8">
      <w:pPr>
        <w:pStyle w:val="ListParagraph"/>
        <w:numPr>
          <w:ilvl w:val="0"/>
          <w:numId w:val="1"/>
        </w:numPr>
      </w:pPr>
      <w:r>
        <w:t>“Pupil fee” means a fee, deposit, or other charge imposed on pupils</w:t>
      </w:r>
      <w:r w:rsidR="00F63B99">
        <w:t>, or a pupil</w:t>
      </w:r>
      <w:r w:rsidR="00664FE1">
        <w:t>’s</w:t>
      </w:r>
      <w:r w:rsidR="00F63B99">
        <w:t xml:space="preserve"> parents or guardians, in violation of Section 49011 and Section 5 of Article IX of the California Constitution, which require educational activities to be provided free of charge to all pupils without regard to their families’ ability or willingness to pay fees or request special waivers, as provided for in Ha</w:t>
      </w:r>
      <w:r w:rsidR="00664FE1">
        <w:t>r</w:t>
      </w:r>
      <w:r w:rsidR="00F63B99">
        <w:t xml:space="preserve">tzell v. Connell (1984) 35 Cal.3d 899.  A pupil fee includes, but is not limited to, </w:t>
      </w:r>
      <w:r w:rsidR="00F5635D">
        <w:t>all</w:t>
      </w:r>
      <w:r w:rsidR="00F63B99">
        <w:t xml:space="preserve"> the following: </w:t>
      </w:r>
    </w:p>
    <w:p w14:paraId="25911B99" w14:textId="77777777" w:rsidR="00F63B99" w:rsidRDefault="00F63B99" w:rsidP="00F63B99">
      <w:pPr>
        <w:pStyle w:val="ListParagraph"/>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F63B99" w14:paraId="05A45ACF" w14:textId="77777777" w:rsidTr="00F60293">
        <w:tc>
          <w:tcPr>
            <w:tcW w:w="8275" w:type="dxa"/>
          </w:tcPr>
          <w:p w14:paraId="241C4C31" w14:textId="6A6A3338" w:rsidR="00F63B99" w:rsidRDefault="00F63B99" w:rsidP="00F60293">
            <w:pPr>
              <w:pStyle w:val="ListParagraph"/>
              <w:numPr>
                <w:ilvl w:val="0"/>
                <w:numId w:val="2"/>
              </w:numPr>
            </w:pPr>
            <w:r>
              <w:t xml:space="preserve">A fee charged to a pupil as a condition for registering for school or classes, or as a condition for participation in a class or an extracurricular activity, regardless of whether the class or activity is elective or </w:t>
            </w:r>
            <w:r w:rsidR="00F60293">
              <w:t>compulsory or</w:t>
            </w:r>
            <w:r>
              <w:t xml:space="preserve"> is for credit.</w:t>
            </w:r>
          </w:p>
          <w:p w14:paraId="187751C7" w14:textId="77777777" w:rsidR="00F60293" w:rsidRDefault="00F60293" w:rsidP="00F60293">
            <w:pPr>
              <w:ind w:left="360"/>
            </w:pPr>
          </w:p>
          <w:p w14:paraId="0D3A7782" w14:textId="5BC69850" w:rsidR="00F63B99" w:rsidRDefault="00F63B99" w:rsidP="00F63B99">
            <w:pPr>
              <w:pStyle w:val="ListParagraph"/>
              <w:numPr>
                <w:ilvl w:val="0"/>
                <w:numId w:val="2"/>
              </w:numPr>
            </w:pPr>
            <w:r>
              <w:t>A security deposit, or other payment, that a pupil is required to make to obtain a lock, locker, books, class apparatus, musical instrument, uniform or other materials or equipment.</w:t>
            </w:r>
          </w:p>
          <w:p w14:paraId="2E841232" w14:textId="77777777" w:rsidR="00F60293" w:rsidRDefault="00F60293" w:rsidP="00F60293">
            <w:pPr>
              <w:ind w:left="360"/>
            </w:pPr>
          </w:p>
          <w:p w14:paraId="691046F1" w14:textId="77777777" w:rsidR="00F63B99" w:rsidRDefault="00F60293" w:rsidP="00F63B99">
            <w:pPr>
              <w:pStyle w:val="ListParagraph"/>
              <w:numPr>
                <w:ilvl w:val="0"/>
                <w:numId w:val="2"/>
              </w:numPr>
            </w:pPr>
            <w:r>
              <w:t>A purchase that a pupil is required to make to obtain materials, supplies, equipment, or uniforms associated with an educational activity.</w:t>
            </w:r>
          </w:p>
          <w:p w14:paraId="307E6790" w14:textId="77777777" w:rsidR="00F60293" w:rsidRDefault="00F60293" w:rsidP="00F60293">
            <w:pPr>
              <w:pStyle w:val="ListParagraph"/>
            </w:pPr>
          </w:p>
          <w:p w14:paraId="7D6B0030" w14:textId="77777777" w:rsidR="00F60293" w:rsidRDefault="00F60293" w:rsidP="00F60293"/>
          <w:p w14:paraId="548B78C1" w14:textId="3CF56DDA" w:rsidR="00F60293" w:rsidRDefault="00F60293" w:rsidP="00F60293"/>
        </w:tc>
      </w:tr>
    </w:tbl>
    <w:p w14:paraId="3624A5C5" w14:textId="1E7759E8" w:rsidR="00F60293" w:rsidRDefault="00F60293" w:rsidP="00F60293">
      <w:pPr>
        <w:rPr>
          <w:rFonts w:eastAsia="MS Mincho"/>
        </w:rPr>
      </w:pPr>
      <w:r>
        <w:rPr>
          <w:rFonts w:eastAsia="MS Mincho"/>
        </w:rPr>
        <w:lastRenderedPageBreak/>
        <w:tab/>
        <w:t>BP 3260(</w:t>
      </w:r>
      <w:r w:rsidR="00D82A3C">
        <w:rPr>
          <w:rFonts w:eastAsia="MS Mincho"/>
        </w:rPr>
        <w:t>b</w:t>
      </w:r>
      <w:r>
        <w:rPr>
          <w:rFonts w:eastAsia="MS Mincho"/>
        </w:rPr>
        <w:t>)</w:t>
      </w:r>
    </w:p>
    <w:p w14:paraId="36F84338" w14:textId="77777777" w:rsidR="00F60293" w:rsidRDefault="00F60293" w:rsidP="00F60293">
      <w:pPr>
        <w:rPr>
          <w:rFonts w:eastAsia="MS Mincho"/>
        </w:rPr>
      </w:pPr>
    </w:p>
    <w:p w14:paraId="6D378E36" w14:textId="77777777" w:rsidR="00F60293" w:rsidRDefault="00F60293" w:rsidP="00F60293">
      <w:pPr>
        <w:rPr>
          <w:rFonts w:eastAsia="MS Mincho"/>
          <w:b/>
          <w:bCs/>
        </w:rPr>
      </w:pPr>
      <w:r>
        <w:rPr>
          <w:rFonts w:eastAsia="MS Mincho"/>
          <w:b/>
          <w:bCs/>
        </w:rPr>
        <w:t>FEES AND CHARGES</w:t>
      </w:r>
    </w:p>
    <w:p w14:paraId="094DD718" w14:textId="77777777" w:rsidR="00F63B99" w:rsidRDefault="00F63B99" w:rsidP="00F63B99"/>
    <w:p w14:paraId="5BD69A88" w14:textId="36624281" w:rsidR="00F60293" w:rsidRDefault="00F60293" w:rsidP="00F63B99">
      <w:r>
        <w:t>Complaints of non-compliance with this Board Policy shall be filed in accordance with Administrative Regulation 3260 (Pupil Fees).</w:t>
      </w:r>
    </w:p>
    <w:p w14:paraId="38DCCF71" w14:textId="77777777" w:rsidR="00F60293" w:rsidRDefault="00F60293" w:rsidP="00F63B99"/>
    <w:p w14:paraId="7BCB2C88" w14:textId="7C773E37" w:rsidR="00F60293" w:rsidRDefault="00F60293" w:rsidP="00F63B99">
      <w:pPr>
        <w:rPr>
          <w:i/>
          <w:iCs/>
          <w:sz w:val="18"/>
          <w:szCs w:val="18"/>
        </w:rPr>
      </w:pPr>
      <w:r>
        <w:rPr>
          <w:i/>
          <w:iCs/>
          <w:sz w:val="18"/>
          <w:szCs w:val="18"/>
        </w:rPr>
        <w:t>Reference:</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tblGrid>
      <w:tr w:rsidR="00F60293" w14:paraId="0DC03198" w14:textId="77777777" w:rsidTr="00F60293">
        <w:tc>
          <w:tcPr>
            <w:tcW w:w="8815" w:type="dxa"/>
          </w:tcPr>
          <w:p w14:paraId="3C07A215" w14:textId="401A7107" w:rsidR="00F60293" w:rsidRDefault="00F60293" w:rsidP="00F63B99">
            <w:pPr>
              <w:rPr>
                <w:i/>
                <w:iCs/>
                <w:sz w:val="18"/>
                <w:szCs w:val="18"/>
              </w:rPr>
            </w:pPr>
            <w:r>
              <w:rPr>
                <w:i/>
                <w:iCs/>
                <w:sz w:val="18"/>
                <w:szCs w:val="18"/>
              </w:rPr>
              <w:t>California Constitution, Article 9, Section 5</w:t>
            </w:r>
          </w:p>
          <w:p w14:paraId="7A4D2B5A" w14:textId="77777777" w:rsidR="00F60293" w:rsidRDefault="00F60293" w:rsidP="00F63B99">
            <w:pPr>
              <w:rPr>
                <w:i/>
                <w:iCs/>
                <w:sz w:val="18"/>
                <w:szCs w:val="18"/>
              </w:rPr>
            </w:pPr>
            <w:r>
              <w:rPr>
                <w:i/>
                <w:iCs/>
                <w:sz w:val="18"/>
                <w:szCs w:val="18"/>
              </w:rPr>
              <w:t>Education Code sections 49010-49013</w:t>
            </w:r>
          </w:p>
          <w:p w14:paraId="456D50C3" w14:textId="615E9926" w:rsidR="00F60293" w:rsidRDefault="00F60293" w:rsidP="00F63B99">
            <w:pPr>
              <w:rPr>
                <w:i/>
                <w:iCs/>
                <w:sz w:val="18"/>
                <w:szCs w:val="18"/>
              </w:rPr>
            </w:pPr>
            <w:r>
              <w:rPr>
                <w:i/>
                <w:iCs/>
                <w:sz w:val="18"/>
                <w:szCs w:val="18"/>
              </w:rPr>
              <w:t>Title 5 California Code of Regulations, Section 350</w:t>
            </w:r>
          </w:p>
        </w:tc>
      </w:tr>
    </w:tbl>
    <w:p w14:paraId="4E0C07E9" w14:textId="77777777" w:rsidR="00F60293" w:rsidRDefault="00F60293" w:rsidP="00F63B99">
      <w:pPr>
        <w:rPr>
          <w:i/>
          <w:iCs/>
          <w:sz w:val="18"/>
          <w:szCs w:val="18"/>
        </w:rPr>
      </w:pPr>
    </w:p>
    <w:p w14:paraId="73C97E3E" w14:textId="77777777" w:rsidR="00F60293" w:rsidRDefault="00F60293" w:rsidP="00F63B99">
      <w:pPr>
        <w:rPr>
          <w:i/>
          <w:iCs/>
          <w:sz w:val="18"/>
          <w:szCs w:val="18"/>
        </w:rPr>
      </w:pPr>
    </w:p>
    <w:p w14:paraId="6D04B213" w14:textId="77777777" w:rsidR="00F60293" w:rsidRDefault="00F60293" w:rsidP="00F63B99">
      <w:pPr>
        <w:rPr>
          <w:i/>
          <w:iCs/>
          <w:sz w:val="18"/>
          <w:szCs w:val="18"/>
        </w:rPr>
      </w:pPr>
    </w:p>
    <w:p w14:paraId="23964902" w14:textId="77777777" w:rsidR="00F60293" w:rsidRDefault="00F60293" w:rsidP="00F63B99">
      <w:pPr>
        <w:rPr>
          <w:i/>
          <w:iCs/>
          <w:sz w:val="18"/>
          <w:szCs w:val="18"/>
        </w:rPr>
      </w:pPr>
    </w:p>
    <w:p w14:paraId="3D9FD4CA" w14:textId="77777777" w:rsidR="00F60293" w:rsidRDefault="00F60293" w:rsidP="00F63B99">
      <w:pPr>
        <w:rPr>
          <w:i/>
          <w:iCs/>
          <w:sz w:val="18"/>
          <w:szCs w:val="18"/>
        </w:rPr>
      </w:pPr>
    </w:p>
    <w:p w14:paraId="6D60FEA1" w14:textId="77777777" w:rsidR="00F60293" w:rsidRDefault="00F60293" w:rsidP="00F63B99">
      <w:pPr>
        <w:rPr>
          <w:i/>
          <w:iCs/>
          <w:sz w:val="18"/>
          <w:szCs w:val="18"/>
        </w:rPr>
      </w:pPr>
    </w:p>
    <w:p w14:paraId="753D3238" w14:textId="77777777" w:rsidR="00F60293" w:rsidRDefault="00F60293" w:rsidP="00F63B99">
      <w:pPr>
        <w:rPr>
          <w:i/>
          <w:iCs/>
          <w:sz w:val="18"/>
          <w:szCs w:val="18"/>
        </w:rPr>
      </w:pPr>
    </w:p>
    <w:p w14:paraId="279B83D9" w14:textId="77777777" w:rsidR="00F60293" w:rsidRDefault="00F60293" w:rsidP="00F63B99">
      <w:pPr>
        <w:rPr>
          <w:i/>
          <w:iCs/>
          <w:sz w:val="18"/>
          <w:szCs w:val="18"/>
        </w:rPr>
      </w:pPr>
    </w:p>
    <w:p w14:paraId="587B664A" w14:textId="77777777" w:rsidR="00F60293" w:rsidRDefault="00F60293" w:rsidP="00F63B99">
      <w:pPr>
        <w:rPr>
          <w:i/>
          <w:iCs/>
          <w:sz w:val="18"/>
          <w:szCs w:val="18"/>
        </w:rPr>
      </w:pPr>
    </w:p>
    <w:p w14:paraId="306C1132" w14:textId="77777777" w:rsidR="00F60293" w:rsidRDefault="00F60293" w:rsidP="00F63B99">
      <w:pPr>
        <w:rPr>
          <w:i/>
          <w:iCs/>
          <w:sz w:val="18"/>
          <w:szCs w:val="18"/>
        </w:rPr>
      </w:pPr>
    </w:p>
    <w:p w14:paraId="71017EE3" w14:textId="77777777" w:rsidR="00F60293" w:rsidRDefault="00F60293" w:rsidP="00F63B99">
      <w:pPr>
        <w:rPr>
          <w:i/>
          <w:iCs/>
          <w:sz w:val="18"/>
          <w:szCs w:val="18"/>
        </w:rPr>
      </w:pPr>
    </w:p>
    <w:p w14:paraId="4CD6AA5A" w14:textId="77777777" w:rsidR="00F60293" w:rsidRDefault="00F60293" w:rsidP="00F63B99">
      <w:pPr>
        <w:rPr>
          <w:i/>
          <w:iCs/>
          <w:sz w:val="18"/>
          <w:szCs w:val="18"/>
        </w:rPr>
      </w:pPr>
    </w:p>
    <w:p w14:paraId="035BA7BF" w14:textId="77777777" w:rsidR="00F60293" w:rsidRDefault="00F60293" w:rsidP="00F63B99">
      <w:pPr>
        <w:rPr>
          <w:i/>
          <w:iCs/>
          <w:sz w:val="18"/>
          <w:szCs w:val="18"/>
        </w:rPr>
      </w:pPr>
    </w:p>
    <w:p w14:paraId="01393D7D" w14:textId="77777777" w:rsidR="00F60293" w:rsidRDefault="00F60293" w:rsidP="00F63B99">
      <w:pPr>
        <w:rPr>
          <w:i/>
          <w:iCs/>
          <w:sz w:val="18"/>
          <w:szCs w:val="18"/>
        </w:rPr>
      </w:pPr>
    </w:p>
    <w:p w14:paraId="5977C1B1" w14:textId="77777777" w:rsidR="00F60293" w:rsidRDefault="00F60293" w:rsidP="00F63B99">
      <w:pPr>
        <w:rPr>
          <w:i/>
          <w:iCs/>
          <w:sz w:val="18"/>
          <w:szCs w:val="18"/>
        </w:rPr>
      </w:pPr>
    </w:p>
    <w:p w14:paraId="785BAD43" w14:textId="77777777" w:rsidR="00F60293" w:rsidRDefault="00F60293" w:rsidP="00F63B99">
      <w:pPr>
        <w:rPr>
          <w:i/>
          <w:iCs/>
          <w:sz w:val="18"/>
          <w:szCs w:val="18"/>
        </w:rPr>
      </w:pPr>
    </w:p>
    <w:p w14:paraId="1F991E48" w14:textId="77777777" w:rsidR="00F60293" w:rsidRDefault="00F60293" w:rsidP="00F63B99">
      <w:pPr>
        <w:rPr>
          <w:i/>
          <w:iCs/>
          <w:szCs w:val="24"/>
        </w:rPr>
      </w:pPr>
    </w:p>
    <w:p w14:paraId="45392677" w14:textId="77777777" w:rsidR="00F60293" w:rsidRDefault="00F60293" w:rsidP="00F63B99">
      <w:pPr>
        <w:rPr>
          <w:i/>
          <w:iCs/>
          <w:szCs w:val="24"/>
        </w:rPr>
      </w:pPr>
    </w:p>
    <w:p w14:paraId="67A8F262" w14:textId="77777777" w:rsidR="00F60293" w:rsidRDefault="00F60293" w:rsidP="00F63B99">
      <w:pPr>
        <w:rPr>
          <w:i/>
          <w:iCs/>
          <w:szCs w:val="24"/>
        </w:rPr>
      </w:pPr>
    </w:p>
    <w:p w14:paraId="386834D8" w14:textId="77777777" w:rsidR="00F60293" w:rsidRDefault="00F60293" w:rsidP="00F63B99">
      <w:pPr>
        <w:rPr>
          <w:i/>
          <w:iCs/>
          <w:szCs w:val="24"/>
        </w:rPr>
      </w:pPr>
    </w:p>
    <w:p w14:paraId="310B826A" w14:textId="77777777" w:rsidR="00F60293" w:rsidRDefault="00F60293" w:rsidP="00F63B99">
      <w:pPr>
        <w:rPr>
          <w:i/>
          <w:iCs/>
          <w:szCs w:val="24"/>
        </w:rPr>
      </w:pPr>
    </w:p>
    <w:p w14:paraId="3308F8F6" w14:textId="77777777" w:rsidR="00F60293" w:rsidRDefault="00F60293" w:rsidP="00F63B99">
      <w:pPr>
        <w:rPr>
          <w:i/>
          <w:iCs/>
          <w:szCs w:val="24"/>
        </w:rPr>
      </w:pPr>
    </w:p>
    <w:p w14:paraId="127D2374" w14:textId="77777777" w:rsidR="00F60293" w:rsidRDefault="00F60293" w:rsidP="00F63B99">
      <w:pPr>
        <w:rPr>
          <w:i/>
          <w:iCs/>
          <w:szCs w:val="24"/>
        </w:rPr>
      </w:pPr>
    </w:p>
    <w:p w14:paraId="6F282800" w14:textId="77777777" w:rsidR="00F60293" w:rsidRDefault="00F60293" w:rsidP="00F63B99">
      <w:pPr>
        <w:rPr>
          <w:i/>
          <w:iCs/>
          <w:szCs w:val="24"/>
        </w:rPr>
      </w:pPr>
    </w:p>
    <w:p w14:paraId="1F50567D" w14:textId="77777777" w:rsidR="00F60293" w:rsidRDefault="00F60293" w:rsidP="00F63B99">
      <w:pPr>
        <w:rPr>
          <w:i/>
          <w:iCs/>
          <w:szCs w:val="24"/>
        </w:rPr>
      </w:pPr>
    </w:p>
    <w:p w14:paraId="2F799266" w14:textId="77777777" w:rsidR="00F60293" w:rsidRDefault="00F60293" w:rsidP="00F63B99">
      <w:pPr>
        <w:rPr>
          <w:i/>
          <w:iCs/>
          <w:szCs w:val="24"/>
        </w:rPr>
      </w:pPr>
    </w:p>
    <w:p w14:paraId="121C53A2" w14:textId="77777777" w:rsidR="00F60293" w:rsidRDefault="00F60293" w:rsidP="00F63B99">
      <w:pPr>
        <w:rPr>
          <w:i/>
          <w:iCs/>
          <w:szCs w:val="24"/>
        </w:rPr>
      </w:pPr>
    </w:p>
    <w:p w14:paraId="021A3159" w14:textId="77777777" w:rsidR="00F60293" w:rsidRDefault="00F60293" w:rsidP="00F63B99">
      <w:pPr>
        <w:rPr>
          <w:i/>
          <w:iCs/>
          <w:szCs w:val="24"/>
        </w:rPr>
      </w:pPr>
    </w:p>
    <w:p w14:paraId="5D330F2E" w14:textId="77777777" w:rsidR="00F60293" w:rsidRDefault="00F60293" w:rsidP="00F63B99">
      <w:pPr>
        <w:rPr>
          <w:i/>
          <w:iCs/>
          <w:szCs w:val="24"/>
        </w:rPr>
      </w:pPr>
    </w:p>
    <w:p w14:paraId="749F66DC" w14:textId="77777777" w:rsidR="00F60293" w:rsidRDefault="00F60293" w:rsidP="00F63B99">
      <w:pPr>
        <w:rPr>
          <w:i/>
          <w:iCs/>
          <w:szCs w:val="24"/>
        </w:rPr>
      </w:pPr>
    </w:p>
    <w:p w14:paraId="24D384ED" w14:textId="77777777" w:rsidR="00F60293" w:rsidRDefault="00F60293" w:rsidP="00F63B99">
      <w:pPr>
        <w:rPr>
          <w:i/>
          <w:iCs/>
          <w:szCs w:val="24"/>
        </w:rPr>
      </w:pPr>
    </w:p>
    <w:p w14:paraId="354B7610" w14:textId="77777777" w:rsidR="00F60293" w:rsidRDefault="00F60293" w:rsidP="00F63B99">
      <w:pPr>
        <w:rPr>
          <w:i/>
          <w:iCs/>
          <w:szCs w:val="24"/>
        </w:rPr>
      </w:pPr>
    </w:p>
    <w:p w14:paraId="49E352CC" w14:textId="77777777" w:rsidR="00F60293" w:rsidRDefault="00F60293" w:rsidP="00F63B99">
      <w:pP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0293" w14:paraId="60B81E70" w14:textId="77777777" w:rsidTr="00D82A3C">
        <w:tc>
          <w:tcPr>
            <w:tcW w:w="4675" w:type="dxa"/>
          </w:tcPr>
          <w:p w14:paraId="141DAC23" w14:textId="77777777" w:rsidR="00F5635D" w:rsidRDefault="00F5635D" w:rsidP="00F63B99">
            <w:pPr>
              <w:rPr>
                <w:szCs w:val="24"/>
              </w:rPr>
            </w:pPr>
          </w:p>
          <w:p w14:paraId="63F72CA2" w14:textId="58BADF84" w:rsidR="00F60293" w:rsidRPr="00D82A3C" w:rsidRDefault="00F60293" w:rsidP="00F63B99">
            <w:pPr>
              <w:rPr>
                <w:szCs w:val="24"/>
              </w:rPr>
            </w:pPr>
            <w:r w:rsidRPr="00D82A3C">
              <w:rPr>
                <w:szCs w:val="24"/>
              </w:rPr>
              <w:t>Regulation</w:t>
            </w:r>
          </w:p>
          <w:p w14:paraId="5CC9B9F9" w14:textId="289D31C5" w:rsidR="00F60293" w:rsidRPr="00D82A3C" w:rsidRDefault="00D82A3C" w:rsidP="00F63B99">
            <w:pPr>
              <w:rPr>
                <w:szCs w:val="24"/>
              </w:rPr>
            </w:pPr>
            <w:r>
              <w:rPr>
                <w:szCs w:val="24"/>
              </w:rPr>
              <w:t>a</w:t>
            </w:r>
            <w:r w:rsidR="00F60293" w:rsidRPr="00D82A3C">
              <w:rPr>
                <w:szCs w:val="24"/>
              </w:rPr>
              <w:t>pproved:  October 25, 2007</w:t>
            </w:r>
          </w:p>
          <w:p w14:paraId="000DF459" w14:textId="12F72350" w:rsidR="00F60293" w:rsidRPr="00D82A3C" w:rsidRDefault="00D82A3C" w:rsidP="00F63B99">
            <w:pPr>
              <w:rPr>
                <w:szCs w:val="24"/>
              </w:rPr>
            </w:pPr>
            <w:r>
              <w:rPr>
                <w:szCs w:val="24"/>
              </w:rPr>
              <w:t>r</w:t>
            </w:r>
            <w:r w:rsidR="00F60293" w:rsidRPr="00D82A3C">
              <w:rPr>
                <w:szCs w:val="24"/>
              </w:rPr>
              <w:t>evised:  February 21, 2013</w:t>
            </w:r>
          </w:p>
          <w:p w14:paraId="188A4CC8" w14:textId="603E448B" w:rsidR="00F60293" w:rsidRPr="00E44E28" w:rsidRDefault="00D82A3C" w:rsidP="00F63B99">
            <w:pPr>
              <w:rPr>
                <w:szCs w:val="24"/>
              </w:rPr>
            </w:pPr>
            <w:r w:rsidRPr="00E44E28">
              <w:rPr>
                <w:szCs w:val="24"/>
              </w:rPr>
              <w:t>r</w:t>
            </w:r>
            <w:r w:rsidR="00F60293" w:rsidRPr="00E44E28">
              <w:rPr>
                <w:szCs w:val="24"/>
              </w:rPr>
              <w:t>evised</w:t>
            </w:r>
            <w:r w:rsidR="00F60293" w:rsidRPr="00E44E28">
              <w:rPr>
                <w:i/>
                <w:iCs/>
                <w:szCs w:val="24"/>
              </w:rPr>
              <w:t>:</w:t>
            </w:r>
            <w:r w:rsidR="00E44E28" w:rsidRPr="00E44E28">
              <w:rPr>
                <w:i/>
                <w:iCs/>
                <w:szCs w:val="24"/>
              </w:rPr>
              <w:t xml:space="preserve">  </w:t>
            </w:r>
            <w:r w:rsidR="00BD7447">
              <w:rPr>
                <w:szCs w:val="24"/>
              </w:rPr>
              <w:t>December 18</w:t>
            </w:r>
            <w:r w:rsidR="00E44E28" w:rsidRPr="00E44E28">
              <w:rPr>
                <w:szCs w:val="24"/>
              </w:rPr>
              <w:t>, 2023</w:t>
            </w:r>
          </w:p>
        </w:tc>
        <w:tc>
          <w:tcPr>
            <w:tcW w:w="4675" w:type="dxa"/>
          </w:tcPr>
          <w:p w14:paraId="252E588C" w14:textId="77777777" w:rsidR="00F5635D" w:rsidRDefault="00F5635D" w:rsidP="00D82A3C">
            <w:pPr>
              <w:jc w:val="right"/>
              <w:rPr>
                <w:b/>
                <w:bCs/>
                <w:strike/>
                <w:szCs w:val="24"/>
              </w:rPr>
            </w:pPr>
          </w:p>
          <w:p w14:paraId="0D7479B0" w14:textId="77777777" w:rsidR="00D82A3C" w:rsidRPr="00E44E28" w:rsidRDefault="00D82A3C" w:rsidP="00D82A3C">
            <w:pPr>
              <w:jc w:val="right"/>
              <w:rPr>
                <w:b/>
                <w:bCs/>
                <w:szCs w:val="24"/>
              </w:rPr>
            </w:pPr>
            <w:r w:rsidRPr="00E44E28">
              <w:rPr>
                <w:b/>
                <w:bCs/>
                <w:szCs w:val="24"/>
              </w:rPr>
              <w:t>COLLEGE AND CAREER ADVANTAGE</w:t>
            </w:r>
          </w:p>
          <w:p w14:paraId="0CB040F1" w14:textId="5C62BB51" w:rsidR="00D82A3C" w:rsidRPr="00D82A3C" w:rsidRDefault="00D82A3C" w:rsidP="00D82A3C">
            <w:pPr>
              <w:jc w:val="right"/>
              <w:rPr>
                <w:szCs w:val="24"/>
              </w:rPr>
            </w:pPr>
            <w:r w:rsidRPr="00D82A3C">
              <w:rPr>
                <w:szCs w:val="24"/>
              </w:rPr>
              <w:t>San Juan Capistrano, California</w:t>
            </w:r>
          </w:p>
        </w:tc>
      </w:tr>
    </w:tbl>
    <w:p w14:paraId="73AFFC7C" w14:textId="77777777" w:rsidR="00F60293" w:rsidRPr="00F60293" w:rsidRDefault="00F60293" w:rsidP="00F63B99">
      <w:pPr>
        <w:rPr>
          <w:i/>
          <w:iCs/>
          <w:szCs w:val="24"/>
        </w:rPr>
      </w:pPr>
    </w:p>
    <w:p w14:paraId="01C7FAD7" w14:textId="7012E2F1" w:rsidR="00F60293" w:rsidRPr="00F60293" w:rsidRDefault="00F60293" w:rsidP="00F63B99">
      <w:pPr>
        <w:rPr>
          <w:i/>
          <w:iCs/>
          <w:sz w:val="18"/>
          <w:szCs w:val="18"/>
        </w:rPr>
      </w:pPr>
      <w:r>
        <w:rPr>
          <w:i/>
          <w:iCs/>
          <w:sz w:val="18"/>
          <w:szCs w:val="18"/>
        </w:rPr>
        <w:tab/>
      </w:r>
    </w:p>
    <w:sectPr w:rsidR="00F60293" w:rsidRPr="00F6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14DF"/>
    <w:multiLevelType w:val="hybridMultilevel"/>
    <w:tmpl w:val="6BE6B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67A2B"/>
    <w:multiLevelType w:val="hybridMultilevel"/>
    <w:tmpl w:val="D782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634151">
    <w:abstractNumId w:val="0"/>
  </w:num>
  <w:num w:numId="2" w16cid:durableId="108753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A8"/>
    <w:rsid w:val="000F231F"/>
    <w:rsid w:val="00664FE1"/>
    <w:rsid w:val="00BD7447"/>
    <w:rsid w:val="00D82A3C"/>
    <w:rsid w:val="00E44E28"/>
    <w:rsid w:val="00EF3FA8"/>
    <w:rsid w:val="00F5635D"/>
    <w:rsid w:val="00F60293"/>
    <w:rsid w:val="00F6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816D"/>
  <w15:chartTrackingRefBased/>
  <w15:docId w15:val="{11DA55DB-2C7C-48BA-A7FD-2AE7F986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A8"/>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A8"/>
    <w:pPr>
      <w:ind w:left="720"/>
      <w:contextualSpacing/>
    </w:pPr>
  </w:style>
  <w:style w:type="table" w:styleId="TableGrid">
    <w:name w:val="Table Grid"/>
    <w:basedOn w:val="TableNormal"/>
    <w:uiPriority w:val="39"/>
    <w:rsid w:val="00F6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6</cp:revision>
  <cp:lastPrinted>2023-06-01T19:16:00Z</cp:lastPrinted>
  <dcterms:created xsi:type="dcterms:W3CDTF">2023-05-25T18:00:00Z</dcterms:created>
  <dcterms:modified xsi:type="dcterms:W3CDTF">2024-01-10T18:29:00Z</dcterms:modified>
</cp:coreProperties>
</file>